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r w:rsidRPr="00AC7C8F">
        <w:rPr>
          <w:rFonts w:ascii="標楷體" w:eastAsia="標楷體" w:hAnsi="標楷體" w:hint="eastAsia"/>
          <w:b/>
          <w:bCs/>
          <w:color w:val="000000" w:themeColor="text1"/>
          <w:sz w:val="36"/>
          <w:szCs w:val="36"/>
        </w:rPr>
        <w:t>彰化縣109學年度臺灣母語尪仔冊講古比賽實施計畫</w:t>
      </w:r>
      <w:bookmarkEnd w:id="0"/>
    </w:p>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9F9AF" w14:textId="77777777" w:rsidR="00D00ED6" w:rsidRDefault="00D00ED6" w:rsidP="00F260CE">
      <w:pPr>
        <w:rPr>
          <w:rFonts w:cs="Times New Roman"/>
        </w:rPr>
      </w:pPr>
      <w:r>
        <w:rPr>
          <w:rFonts w:cs="Times New Roman"/>
        </w:rPr>
        <w:separator/>
      </w:r>
    </w:p>
  </w:endnote>
  <w:endnote w:type="continuationSeparator" w:id="0">
    <w:p w14:paraId="5B3A8801" w14:textId="77777777" w:rsidR="00D00ED6" w:rsidRDefault="00D00ED6"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2BCF" w14:textId="77777777" w:rsidR="00D00ED6" w:rsidRDefault="00D00ED6" w:rsidP="00F260CE">
      <w:pPr>
        <w:rPr>
          <w:rFonts w:cs="Times New Roman"/>
        </w:rPr>
      </w:pPr>
      <w:r>
        <w:rPr>
          <w:rFonts w:cs="Times New Roman"/>
        </w:rPr>
        <w:separator/>
      </w:r>
    </w:p>
  </w:footnote>
  <w:footnote w:type="continuationSeparator" w:id="0">
    <w:p w14:paraId="04361C7B" w14:textId="77777777" w:rsidR="00D00ED6" w:rsidRDefault="00D00ED6"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0ED6"/>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07DF"/>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1D0AFCBD-2E0A-469E-919D-78933FE7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BB67-D639-4575-91AF-C3010F8B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2020-10-06T06:12:00Z</dcterms:created>
  <dcterms:modified xsi:type="dcterms:W3CDTF">2020-10-06T06:12:00Z</dcterms:modified>
</cp:coreProperties>
</file>